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6EB01" w14:textId="77777777" w:rsidR="006D3162" w:rsidRDefault="00DB4402">
      <w:pPr>
        <w:spacing w:after="20" w:line="240" w:lineRule="auto"/>
        <w:jc w:val="center"/>
      </w:pPr>
      <w:r>
        <w:rPr>
          <w:noProof/>
        </w:rPr>
        <w:drawing>
          <wp:inline distT="0" distB="0" distL="0" distR="0" wp14:anchorId="515352BA" wp14:editId="0499994B">
            <wp:extent cx="1901952" cy="97264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01952" cy="972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27F6B" w14:textId="77777777" w:rsidR="006D3162" w:rsidRDefault="00DB4402">
      <w:pPr>
        <w:spacing w:after="20" w:line="240" w:lineRule="auto"/>
        <w:jc w:val="center"/>
      </w:pPr>
      <w:r>
        <w:rPr>
          <w:b/>
          <w:color w:val="4F216A"/>
          <w:sz w:val="35"/>
        </w:rPr>
        <w:t>Hidden Figures Across Our History Curriculum</w:t>
      </w:r>
    </w:p>
    <w:p w14:paraId="510F2807" w14:textId="77777777" w:rsidR="006D3162" w:rsidRDefault="00DB4402">
      <w:pPr>
        <w:spacing w:after="100" w:line="240" w:lineRule="auto"/>
        <w:jc w:val="center"/>
      </w:pPr>
      <w:r>
        <w:rPr>
          <w:b/>
          <w:color w:val="5A5A5A"/>
          <w:sz w:val="19"/>
        </w:rPr>
        <w:t xml:space="preserve">Mixed-age curriculum </w:t>
      </w:r>
      <w:proofErr w:type="gramStart"/>
      <w:r>
        <w:rPr>
          <w:b/>
          <w:color w:val="5A5A5A"/>
          <w:sz w:val="19"/>
        </w:rPr>
        <w:t>map  |</w:t>
      </w:r>
      <w:proofErr w:type="gramEnd"/>
      <w:r>
        <w:rPr>
          <w:b/>
          <w:color w:val="5A5A5A"/>
          <w:sz w:val="19"/>
        </w:rPr>
        <w:t xml:space="preserve">  September 2026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250"/>
      </w:tblGrid>
      <w:tr w:rsidR="006D3162" w14:paraId="39BE6EEA" w14:textId="77777777">
        <w:trPr>
          <w:jc w:val="center"/>
        </w:trPr>
        <w:tc>
          <w:tcPr>
            <w:tcW w:w="15250" w:type="dxa"/>
            <w:shd w:val="clear" w:color="auto" w:fill="EAF3F7"/>
            <w:tcMar>
              <w:top w:w="105" w:type="dxa"/>
              <w:left w:w="145" w:type="dxa"/>
              <w:bottom w:w="105" w:type="dxa"/>
              <w:right w:w="145" w:type="dxa"/>
            </w:tcMar>
          </w:tcPr>
          <w:p w14:paraId="4D7F6DA2" w14:textId="77777777" w:rsidR="006D3162" w:rsidRDefault="00DB4402">
            <w:pPr>
              <w:spacing w:line="245" w:lineRule="auto"/>
            </w:pPr>
            <w:r>
              <w:rPr>
                <w:b/>
                <w:color w:val="4F216A"/>
                <w:sz w:val="16"/>
              </w:rPr>
              <w:t xml:space="preserve">Our approach: </w:t>
            </w:r>
            <w:r>
              <w:rPr>
                <w:color w:val="232323"/>
                <w:sz w:val="16"/>
              </w:rPr>
              <w:t>At St Martin’s, ‘hidden figures’ help us build a diverse and representative curriculum. Some were overlooked in traditional accounts; others are included because pupils should encounter people of different cultures, ethnicities, genders, heritages and life experiences. A figure does not need to have been forgotten to add an important perspective.</w:t>
            </w:r>
          </w:p>
          <w:p w14:paraId="2C9DB891" w14:textId="65C11518" w:rsidR="006D3162" w:rsidRDefault="006D3162">
            <w:pPr>
              <w:spacing w:before="40" w:line="245" w:lineRule="auto"/>
            </w:pPr>
          </w:p>
        </w:tc>
      </w:tr>
    </w:tbl>
    <w:p w14:paraId="59B1D17C" w14:textId="77777777" w:rsidR="006D3162" w:rsidRDefault="00DB4402">
      <w:pPr>
        <w:spacing w:line="80" w:lineRule="exact"/>
      </w:pPr>
      <w:r>
        <w:rPr>
          <w:color w:val="232323"/>
          <w:sz w:val="2"/>
        </w:rPr>
        <w:t xml:space="preserve"> </w:t>
      </w:r>
    </w:p>
    <w:p w14:paraId="17022746" w14:textId="77777777" w:rsidR="006D3162" w:rsidRDefault="00DB4402">
      <w:pPr>
        <w:spacing w:line="80" w:lineRule="exact"/>
      </w:pPr>
      <w:r>
        <w:rPr>
          <w:color w:val="232323"/>
          <w:sz w:val="2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250"/>
      </w:tblGrid>
      <w:tr w:rsidR="006D3162" w14:paraId="285F351B" w14:textId="77777777">
        <w:trPr>
          <w:jc w:val="center"/>
        </w:trPr>
        <w:tc>
          <w:tcPr>
            <w:tcW w:w="15250" w:type="dxa"/>
            <w:shd w:val="clear" w:color="auto" w:fill="EEE4F4"/>
            <w:tcMar>
              <w:top w:w="75" w:type="dxa"/>
              <w:left w:w="145" w:type="dxa"/>
              <w:bottom w:w="75" w:type="dxa"/>
              <w:right w:w="145" w:type="dxa"/>
            </w:tcMar>
          </w:tcPr>
          <w:p w14:paraId="48A977A1" w14:textId="77777777" w:rsidR="006D3162" w:rsidRDefault="00DB4402">
            <w:pPr>
              <w:spacing w:line="240" w:lineRule="auto"/>
            </w:pPr>
            <w:r>
              <w:rPr>
                <w:b/>
                <w:color w:val="4F216A"/>
                <w:sz w:val="25"/>
              </w:rPr>
              <w:t xml:space="preserve">Reception and Year </w:t>
            </w:r>
            <w:proofErr w:type="gramStart"/>
            <w:r>
              <w:rPr>
                <w:b/>
                <w:color w:val="4F216A"/>
                <w:sz w:val="25"/>
              </w:rPr>
              <w:t>1  |</w:t>
            </w:r>
            <w:proofErr w:type="gramEnd"/>
            <w:r>
              <w:rPr>
                <w:b/>
                <w:color w:val="4F216A"/>
                <w:sz w:val="25"/>
              </w:rPr>
              <w:t xml:space="preserve">  Cycle </w:t>
            </w:r>
            <w:proofErr w:type="gramStart"/>
            <w:r>
              <w:rPr>
                <w:b/>
                <w:color w:val="4F216A"/>
                <w:sz w:val="25"/>
              </w:rPr>
              <w:t>B</w:t>
            </w:r>
            <w:r>
              <w:rPr>
                <w:color w:val="4F216A"/>
              </w:rPr>
              <w:t xml:space="preserve">  |</w:t>
            </w:r>
            <w:proofErr w:type="gramEnd"/>
            <w:r>
              <w:rPr>
                <w:color w:val="4F216A"/>
              </w:rPr>
              <w:t xml:space="preserve">  2027–28</w:t>
            </w:r>
          </w:p>
        </w:tc>
      </w:tr>
    </w:tbl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50"/>
        <w:gridCol w:w="2350"/>
        <w:gridCol w:w="4650"/>
        <w:gridCol w:w="5000"/>
      </w:tblGrid>
      <w:tr w:rsidR="006D3162" w14:paraId="62921AEB" w14:textId="77777777">
        <w:trPr>
          <w:cantSplit/>
          <w:tblHeader/>
          <w:jc w:val="center"/>
        </w:trPr>
        <w:tc>
          <w:tcPr>
            <w:tcW w:w="32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67850993" w14:textId="77777777" w:rsidR="006D3162" w:rsidRDefault="00DB4402">
            <w:r>
              <w:rPr>
                <w:b/>
                <w:color w:val="FFFFFF"/>
                <w:sz w:val="17"/>
              </w:rPr>
              <w:t>Curriculum enquiry</w:t>
            </w:r>
          </w:p>
        </w:tc>
        <w:tc>
          <w:tcPr>
            <w:tcW w:w="23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75CD3227" w14:textId="77777777" w:rsidR="006D3162" w:rsidRDefault="00DB4402">
            <w:r>
              <w:rPr>
                <w:b/>
                <w:color w:val="FFFFFF"/>
                <w:sz w:val="17"/>
              </w:rPr>
              <w:t>Hidden figure</w:t>
            </w:r>
          </w:p>
        </w:tc>
        <w:tc>
          <w:tcPr>
            <w:tcW w:w="46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5C09F5A2" w14:textId="77777777" w:rsidR="006D3162" w:rsidRDefault="00DB4402">
            <w:r>
              <w:rPr>
                <w:b/>
                <w:color w:val="FFFFFF"/>
                <w:sz w:val="17"/>
              </w:rPr>
              <w:t>Why they matter</w:t>
            </w:r>
          </w:p>
        </w:tc>
        <w:tc>
          <w:tcPr>
            <w:tcW w:w="500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05211E3F" w14:textId="77777777" w:rsidR="006D3162" w:rsidRDefault="00DB4402">
            <w:r>
              <w:rPr>
                <w:b/>
                <w:color w:val="FFFFFF"/>
                <w:sz w:val="17"/>
              </w:rPr>
              <w:t>Why are they hidden?</w:t>
            </w:r>
          </w:p>
        </w:tc>
      </w:tr>
      <w:tr w:rsidR="006D3162" w14:paraId="06A99B6E" w14:textId="77777777">
        <w:trPr>
          <w:cantSplit/>
          <w:jc w:val="center"/>
        </w:trPr>
        <w:tc>
          <w:tcPr>
            <w:tcW w:w="32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1A1FA6E1" w14:textId="77777777" w:rsidR="006D3162" w:rsidRDefault="00DB4402">
            <w:r>
              <w:rPr>
                <w:color w:val="232323"/>
                <w:sz w:val="16"/>
              </w:rPr>
              <w:t>How have toys changed over time?</w:t>
            </w:r>
          </w:p>
        </w:tc>
        <w:tc>
          <w:tcPr>
            <w:tcW w:w="23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4B51C2BB" w14:textId="339DEBA3" w:rsidR="006D3162" w:rsidRPr="00D24283" w:rsidRDefault="00D24283">
            <w:pPr>
              <w:rPr>
                <w:b/>
                <w:bCs/>
              </w:rPr>
            </w:pPr>
            <w:r w:rsidRPr="00D24283">
              <w:rPr>
                <w:b/>
                <w:bCs/>
              </w:rPr>
              <w:t>Barbie</w:t>
            </w:r>
          </w:p>
        </w:tc>
        <w:tc>
          <w:tcPr>
            <w:tcW w:w="46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1AA8543B" w14:textId="5DF73455" w:rsidR="006D3162" w:rsidRDefault="00D24283">
            <w:r>
              <w:rPr>
                <w:rFonts w:cs="Arial"/>
                <w:color w:val="232323"/>
                <w:sz w:val="16"/>
                <w:szCs w:val="16"/>
                <w:shd w:val="clear" w:color="auto" w:fill="FFFFFF"/>
              </w:rPr>
              <w:t>Introduced in 1959, Barbie shows how toys and representation have changed, with dolls now reflecting more ethnicities, disabilities, body types and careers.</w:t>
            </w:r>
          </w:p>
        </w:tc>
        <w:tc>
          <w:tcPr>
            <w:tcW w:w="500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46B41C2C" w14:textId="6D08D550" w:rsidR="006D3162" w:rsidRDefault="00D24283">
            <w:r>
              <w:rPr>
                <w:rFonts w:cs="Arial"/>
                <w:color w:val="232323"/>
                <w:sz w:val="16"/>
                <w:szCs w:val="16"/>
                <w:shd w:val="clear" w:color="auto" w:fill="FFFFFF"/>
              </w:rPr>
              <w:t>She is not unknown; she is included because the changing dolls help pupils explore who has—and has not—been represented in toys.</w:t>
            </w:r>
          </w:p>
        </w:tc>
      </w:tr>
      <w:tr w:rsidR="006D3162" w14:paraId="63EBA856" w14:textId="77777777">
        <w:trPr>
          <w:cantSplit/>
          <w:jc w:val="center"/>
        </w:trPr>
        <w:tc>
          <w:tcPr>
            <w:tcW w:w="32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33BC7D77" w14:textId="77777777" w:rsidR="006D3162" w:rsidRDefault="00DB4402">
            <w:r>
              <w:rPr>
                <w:color w:val="232323"/>
                <w:sz w:val="16"/>
              </w:rPr>
              <w:t xml:space="preserve">What was </w:t>
            </w:r>
            <w:proofErr w:type="gramStart"/>
            <w:r>
              <w:rPr>
                <w:color w:val="232323"/>
                <w:sz w:val="16"/>
              </w:rPr>
              <w:t>life like</w:t>
            </w:r>
            <w:proofErr w:type="gramEnd"/>
            <w:r>
              <w:rPr>
                <w:color w:val="232323"/>
                <w:sz w:val="16"/>
              </w:rPr>
              <w:t xml:space="preserve"> when important queens ruled?</w:t>
            </w:r>
          </w:p>
        </w:tc>
        <w:tc>
          <w:tcPr>
            <w:tcW w:w="23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6126020A" w14:textId="77777777" w:rsidR="006D3162" w:rsidRDefault="00DB4402">
            <w:r>
              <w:rPr>
                <w:b/>
                <w:color w:val="232323"/>
                <w:sz w:val="16"/>
              </w:rPr>
              <w:t>Princess Sophia Duleep Singh</w:t>
            </w:r>
          </w:p>
        </w:tc>
        <w:tc>
          <w:tcPr>
            <w:tcW w:w="46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0A29223C" w14:textId="77777777" w:rsidR="006D3162" w:rsidRDefault="00DB4402">
            <w:r>
              <w:rPr>
                <w:color w:val="232323"/>
                <w:sz w:val="16"/>
              </w:rPr>
              <w:t xml:space="preserve">A </w:t>
            </w:r>
            <w:proofErr w:type="gramStart"/>
            <w:r>
              <w:rPr>
                <w:color w:val="232323"/>
                <w:sz w:val="16"/>
              </w:rPr>
              <w:t>British-Indian</w:t>
            </w:r>
            <w:proofErr w:type="gramEnd"/>
            <w:r>
              <w:rPr>
                <w:color w:val="232323"/>
                <w:sz w:val="16"/>
              </w:rPr>
              <w:t xml:space="preserve"> princess, goddaughter of Queen Victoria and campaigner for women’s right to vote.</w:t>
            </w:r>
          </w:p>
        </w:tc>
        <w:tc>
          <w:tcPr>
            <w:tcW w:w="500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67132126" w14:textId="77777777" w:rsidR="006D3162" w:rsidRDefault="00DB4402">
            <w:r>
              <w:rPr>
                <w:color w:val="232323"/>
                <w:sz w:val="16"/>
              </w:rPr>
              <w:t xml:space="preserve">Victorian royal stories usually </w:t>
            </w:r>
            <w:proofErr w:type="spellStart"/>
            <w:r>
              <w:rPr>
                <w:color w:val="232323"/>
                <w:sz w:val="16"/>
              </w:rPr>
              <w:t>centre</w:t>
            </w:r>
            <w:proofErr w:type="spellEnd"/>
            <w:r>
              <w:rPr>
                <w:color w:val="232323"/>
                <w:sz w:val="16"/>
              </w:rPr>
              <w:t xml:space="preserve"> Queen Victoria, while suffrage stories often overlook the contribution of </w:t>
            </w:r>
            <w:proofErr w:type="gramStart"/>
            <w:r>
              <w:rPr>
                <w:color w:val="232323"/>
                <w:sz w:val="16"/>
              </w:rPr>
              <w:t>British-Indian</w:t>
            </w:r>
            <w:proofErr w:type="gramEnd"/>
            <w:r>
              <w:rPr>
                <w:color w:val="232323"/>
                <w:sz w:val="16"/>
              </w:rPr>
              <w:t xml:space="preserve"> women.</w:t>
            </w:r>
          </w:p>
        </w:tc>
      </w:tr>
      <w:tr w:rsidR="006D3162" w14:paraId="3CE12F2F" w14:textId="77777777">
        <w:trPr>
          <w:cantSplit/>
          <w:jc w:val="center"/>
        </w:trPr>
        <w:tc>
          <w:tcPr>
            <w:tcW w:w="32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62A5DCE8" w14:textId="77777777" w:rsidR="006D3162" w:rsidRDefault="00DB4402">
            <w:r>
              <w:rPr>
                <w:color w:val="232323"/>
                <w:sz w:val="16"/>
              </w:rPr>
              <w:t>Why is Old Sarum an important place?</w:t>
            </w:r>
          </w:p>
        </w:tc>
        <w:tc>
          <w:tcPr>
            <w:tcW w:w="23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10189F2E" w14:textId="77777777" w:rsidR="006D3162" w:rsidRDefault="00DB4402">
            <w:r>
              <w:rPr>
                <w:b/>
                <w:color w:val="232323"/>
                <w:sz w:val="16"/>
              </w:rPr>
              <w:t>Eleanor of Aquitaine</w:t>
            </w:r>
          </w:p>
        </w:tc>
        <w:tc>
          <w:tcPr>
            <w:tcW w:w="46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1B9F5498" w14:textId="77777777" w:rsidR="006D3162" w:rsidRDefault="00DB4402">
            <w:r>
              <w:rPr>
                <w:color w:val="232323"/>
                <w:sz w:val="16"/>
              </w:rPr>
              <w:t>A powerful medieval queen traditionally linked with Old Sarum during her years of imprisonment. She connects the local site with monarchy and power.</w:t>
            </w:r>
          </w:p>
        </w:tc>
        <w:tc>
          <w:tcPr>
            <w:tcW w:w="500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4A7D1D7D" w14:textId="77777777" w:rsidR="006D3162" w:rsidRDefault="00DB4402">
            <w:r>
              <w:rPr>
                <w:color w:val="232323"/>
                <w:sz w:val="16"/>
              </w:rPr>
              <w:t xml:space="preserve">Medieval history often </w:t>
            </w:r>
            <w:proofErr w:type="spellStart"/>
            <w:r>
              <w:rPr>
                <w:color w:val="232323"/>
                <w:sz w:val="16"/>
              </w:rPr>
              <w:t>centres</w:t>
            </w:r>
            <w:proofErr w:type="spellEnd"/>
            <w:r>
              <w:rPr>
                <w:color w:val="232323"/>
                <w:sz w:val="16"/>
              </w:rPr>
              <w:t xml:space="preserve"> kings and battles; Eleanor adds the perspective of an influential woman whose political importance extended across Europe.</w:t>
            </w:r>
          </w:p>
        </w:tc>
      </w:tr>
    </w:tbl>
    <w:tbl>
      <w:tblPr>
        <w:tblpPr w:leftFromText="180" w:rightFromText="180" w:vertAnchor="text" w:horzAnchor="margin" w:tblpY="249"/>
        <w:tblW w:w="0" w:type="auto"/>
        <w:tblLayout w:type="fixed"/>
        <w:tblLook w:val="04A0" w:firstRow="1" w:lastRow="0" w:firstColumn="1" w:lastColumn="0" w:noHBand="0" w:noVBand="1"/>
      </w:tblPr>
      <w:tblGrid>
        <w:gridCol w:w="15250"/>
      </w:tblGrid>
      <w:tr w:rsidR="00D24283" w14:paraId="31C4DB59" w14:textId="77777777" w:rsidTr="00D24283">
        <w:tc>
          <w:tcPr>
            <w:tcW w:w="15250" w:type="dxa"/>
            <w:shd w:val="clear" w:color="auto" w:fill="EEE4F4"/>
            <w:tcMar>
              <w:top w:w="75" w:type="dxa"/>
              <w:left w:w="145" w:type="dxa"/>
              <w:bottom w:w="75" w:type="dxa"/>
              <w:right w:w="145" w:type="dxa"/>
            </w:tcMar>
          </w:tcPr>
          <w:p w14:paraId="57429E6F" w14:textId="77777777" w:rsidR="00D24283" w:rsidRDefault="00D24283" w:rsidP="00D24283">
            <w:pPr>
              <w:spacing w:line="240" w:lineRule="auto"/>
            </w:pPr>
            <w:r>
              <w:rPr>
                <w:b/>
                <w:color w:val="4F216A"/>
                <w:sz w:val="25"/>
              </w:rPr>
              <w:t xml:space="preserve">Year </w:t>
            </w:r>
            <w:proofErr w:type="gramStart"/>
            <w:r>
              <w:rPr>
                <w:b/>
                <w:color w:val="4F216A"/>
                <w:sz w:val="25"/>
              </w:rPr>
              <w:t>2</w:t>
            </w:r>
            <w:r>
              <w:rPr>
                <w:color w:val="4F216A"/>
              </w:rPr>
              <w:t xml:space="preserve">  |</w:t>
            </w:r>
            <w:proofErr w:type="gramEnd"/>
            <w:r>
              <w:rPr>
                <w:color w:val="4F216A"/>
              </w:rPr>
              <w:t xml:space="preserve">  standalone programme</w:t>
            </w:r>
          </w:p>
        </w:tc>
      </w:tr>
    </w:tbl>
    <w:tbl>
      <w:tblPr>
        <w:tblStyle w:val="TableGrid"/>
        <w:tblpPr w:leftFromText="180" w:rightFromText="180" w:vertAnchor="text" w:horzAnchor="margin" w:tblpY="676"/>
        <w:tblW w:w="0" w:type="auto"/>
        <w:tblLayout w:type="fixed"/>
        <w:tblLook w:val="04A0" w:firstRow="1" w:lastRow="0" w:firstColumn="1" w:lastColumn="0" w:noHBand="0" w:noVBand="1"/>
      </w:tblPr>
      <w:tblGrid>
        <w:gridCol w:w="3250"/>
        <w:gridCol w:w="2350"/>
        <w:gridCol w:w="4650"/>
        <w:gridCol w:w="5000"/>
      </w:tblGrid>
      <w:tr w:rsidR="00D24283" w14:paraId="15558EB0" w14:textId="77777777" w:rsidTr="00D24283">
        <w:trPr>
          <w:cantSplit/>
          <w:tblHeader/>
        </w:trPr>
        <w:tc>
          <w:tcPr>
            <w:tcW w:w="32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38C024E9" w14:textId="77777777" w:rsidR="00D24283" w:rsidRDefault="00D24283" w:rsidP="00D24283">
            <w:r>
              <w:rPr>
                <w:b/>
                <w:color w:val="FFFFFF"/>
                <w:sz w:val="17"/>
              </w:rPr>
              <w:t>Curriculum enquiry</w:t>
            </w:r>
          </w:p>
        </w:tc>
        <w:tc>
          <w:tcPr>
            <w:tcW w:w="23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3E54C9F3" w14:textId="77777777" w:rsidR="00D24283" w:rsidRDefault="00D24283" w:rsidP="00D24283">
            <w:r>
              <w:rPr>
                <w:b/>
                <w:color w:val="FFFFFF"/>
                <w:sz w:val="17"/>
              </w:rPr>
              <w:t>Hidden figure</w:t>
            </w:r>
          </w:p>
        </w:tc>
        <w:tc>
          <w:tcPr>
            <w:tcW w:w="46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55D437CF" w14:textId="77777777" w:rsidR="00D24283" w:rsidRDefault="00D24283" w:rsidP="00D24283">
            <w:r>
              <w:rPr>
                <w:b/>
                <w:color w:val="FFFFFF"/>
                <w:sz w:val="17"/>
              </w:rPr>
              <w:t>Why they matter</w:t>
            </w:r>
          </w:p>
        </w:tc>
        <w:tc>
          <w:tcPr>
            <w:tcW w:w="500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496DD372" w14:textId="77777777" w:rsidR="00D24283" w:rsidRDefault="00D24283" w:rsidP="00D24283">
            <w:r>
              <w:rPr>
                <w:b/>
                <w:color w:val="FFFFFF"/>
                <w:sz w:val="17"/>
              </w:rPr>
              <w:t>Why are they hidden?</w:t>
            </w:r>
          </w:p>
        </w:tc>
      </w:tr>
      <w:tr w:rsidR="00D24283" w14:paraId="08C565A2" w14:textId="77777777" w:rsidTr="00D24283">
        <w:trPr>
          <w:cantSplit/>
        </w:trPr>
        <w:tc>
          <w:tcPr>
            <w:tcW w:w="32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0E4FBA5A" w14:textId="77777777" w:rsidR="00D24283" w:rsidRDefault="00D24283" w:rsidP="00D24283">
            <w:r>
              <w:rPr>
                <w:color w:val="232323"/>
                <w:sz w:val="16"/>
              </w:rPr>
              <w:t>How did the Great Fire change London?</w:t>
            </w:r>
          </w:p>
        </w:tc>
        <w:tc>
          <w:tcPr>
            <w:tcW w:w="23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23ACBBF4" w14:textId="77777777" w:rsidR="00D24283" w:rsidRDefault="00D24283" w:rsidP="00D24283">
            <w:r>
              <w:rPr>
                <w:b/>
                <w:color w:val="232323"/>
                <w:sz w:val="16"/>
              </w:rPr>
              <w:t>Frank Bailey</w:t>
            </w:r>
          </w:p>
        </w:tc>
        <w:tc>
          <w:tcPr>
            <w:tcW w:w="46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34B34E64" w14:textId="77777777" w:rsidR="00D24283" w:rsidRDefault="00D24283" w:rsidP="00D24283">
            <w:r>
              <w:rPr>
                <w:color w:val="232323"/>
                <w:sz w:val="16"/>
              </w:rPr>
              <w:t>A pioneering firefighter who joined West Ham Fire Brigade in 1955 and is recognised as one of Britain’s first full-time Black firefighters. He supports comparison between then and now.</w:t>
            </w:r>
          </w:p>
        </w:tc>
        <w:tc>
          <w:tcPr>
            <w:tcW w:w="500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5DD3287F" w14:textId="77777777" w:rsidR="00D24283" w:rsidRDefault="00D24283" w:rsidP="00D24283">
            <w:r>
              <w:rPr>
                <w:color w:val="232323"/>
                <w:sz w:val="16"/>
              </w:rPr>
              <w:t>Fire-service histories tend to focus equipment and famous incidents; Black pioneers and the barriers they faced are less often included.</w:t>
            </w:r>
          </w:p>
        </w:tc>
      </w:tr>
      <w:tr w:rsidR="00D24283" w14:paraId="10B380E1" w14:textId="77777777" w:rsidTr="00D24283">
        <w:trPr>
          <w:cantSplit/>
        </w:trPr>
        <w:tc>
          <w:tcPr>
            <w:tcW w:w="32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17D8B4FF" w14:textId="77777777" w:rsidR="00D24283" w:rsidRDefault="00D24283" w:rsidP="00D24283">
            <w:r>
              <w:rPr>
                <w:color w:val="232323"/>
                <w:sz w:val="16"/>
              </w:rPr>
              <w:t>How did Rosa Parks help to change the world?</w:t>
            </w:r>
          </w:p>
        </w:tc>
        <w:tc>
          <w:tcPr>
            <w:tcW w:w="23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6FA45680" w14:textId="77777777" w:rsidR="00D24283" w:rsidRDefault="00D24283" w:rsidP="00D24283">
            <w:r>
              <w:rPr>
                <w:b/>
                <w:color w:val="232323"/>
                <w:sz w:val="16"/>
              </w:rPr>
              <w:t>Claudette Colvin</w:t>
            </w:r>
          </w:p>
        </w:tc>
        <w:tc>
          <w:tcPr>
            <w:tcW w:w="46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0E9771BA" w14:textId="77777777" w:rsidR="00D24283" w:rsidRDefault="00D24283" w:rsidP="00D24283">
            <w:r>
              <w:rPr>
                <w:color w:val="232323"/>
                <w:sz w:val="16"/>
              </w:rPr>
              <w:t>At 15, she refused to give up her bus seat nine months before Rosa Parks and later helped challenge bus segregation through the courts.</w:t>
            </w:r>
          </w:p>
        </w:tc>
        <w:tc>
          <w:tcPr>
            <w:tcW w:w="500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62F29E65" w14:textId="77777777" w:rsidR="00D24283" w:rsidRDefault="00D24283" w:rsidP="00D24283">
            <w:r>
              <w:rPr>
                <w:color w:val="232323"/>
                <w:sz w:val="16"/>
              </w:rPr>
              <w:t>Rosa Parks became the best-known public face of the bus boycott, so Colvin’s earlier action and legal contribution are much less widely taught.</w:t>
            </w:r>
          </w:p>
        </w:tc>
      </w:tr>
      <w:tr w:rsidR="00D24283" w14:paraId="1A01FD06" w14:textId="77777777" w:rsidTr="00D24283">
        <w:trPr>
          <w:cantSplit/>
        </w:trPr>
        <w:tc>
          <w:tcPr>
            <w:tcW w:w="32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5163F8B3" w14:textId="77777777" w:rsidR="00D24283" w:rsidRDefault="00D24283" w:rsidP="00D24283">
            <w:r>
              <w:rPr>
                <w:color w:val="232323"/>
                <w:sz w:val="16"/>
              </w:rPr>
              <w:t>Why was the Moon landing significant?</w:t>
            </w:r>
          </w:p>
        </w:tc>
        <w:tc>
          <w:tcPr>
            <w:tcW w:w="23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0348D761" w14:textId="77777777" w:rsidR="00D24283" w:rsidRDefault="00D24283" w:rsidP="00D24283">
            <w:r>
              <w:rPr>
                <w:b/>
                <w:color w:val="232323"/>
                <w:sz w:val="16"/>
              </w:rPr>
              <w:t>Katherine Johnson</w:t>
            </w:r>
          </w:p>
        </w:tc>
        <w:tc>
          <w:tcPr>
            <w:tcW w:w="46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1C7B4A61" w14:textId="77777777" w:rsidR="00D24283" w:rsidRDefault="00D24283" w:rsidP="00D24283">
            <w:r>
              <w:rPr>
                <w:color w:val="232323"/>
                <w:sz w:val="16"/>
              </w:rPr>
              <w:t>A mathematician whose calculations supported NASA’s early human spaceflight and Moon missions.</w:t>
            </w:r>
          </w:p>
        </w:tc>
        <w:tc>
          <w:tcPr>
            <w:tcW w:w="500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40E1302D" w14:textId="77777777" w:rsidR="00D24283" w:rsidRDefault="00D24283" w:rsidP="00D24283">
            <w:r>
              <w:rPr>
                <w:color w:val="232323"/>
                <w:sz w:val="16"/>
              </w:rPr>
              <w:t>Space history often celebrates astronauts, while Black women mathematicians behind the missions remained largely out of public view.</w:t>
            </w:r>
          </w:p>
        </w:tc>
      </w:tr>
    </w:tbl>
    <w:p w14:paraId="25DBF1B2" w14:textId="681FA2B2" w:rsidR="006D3162" w:rsidRDefault="00D24283">
      <w:r>
        <w:t xml:space="preserve"> </w:t>
      </w:r>
      <w:r w:rsidR="00DB4402">
        <w:br w:type="page"/>
      </w:r>
    </w:p>
    <w:p w14:paraId="010799C0" w14:textId="77777777" w:rsidR="00D24283" w:rsidRDefault="00D24283"/>
    <w:p w14:paraId="2DC50D00" w14:textId="77777777" w:rsidR="006D3162" w:rsidRDefault="00DB4402">
      <w:pPr>
        <w:spacing w:line="160" w:lineRule="exact"/>
      </w:pPr>
      <w:r>
        <w:rPr>
          <w:color w:val="232323"/>
          <w:sz w:val="2"/>
        </w:rPr>
        <w:t xml:space="preserve"> </w:t>
      </w:r>
    </w:p>
    <w:p w14:paraId="7B9071A4" w14:textId="417645D9" w:rsidR="006D3162" w:rsidRPr="00D24283" w:rsidRDefault="00DB4402">
      <w:pPr>
        <w:spacing w:after="80" w:line="240" w:lineRule="auto"/>
        <w:rPr>
          <w:sz w:val="16"/>
          <w:szCs w:val="21"/>
        </w:rPr>
      </w:pPr>
      <w:r w:rsidRPr="00D24283">
        <w:rPr>
          <w:b/>
          <w:color w:val="4F216A"/>
          <w:sz w:val="28"/>
          <w:szCs w:val="21"/>
        </w:rPr>
        <w:t xml:space="preserve">Years 3, 4 and </w:t>
      </w:r>
      <w:proofErr w:type="gramStart"/>
      <w:r w:rsidRPr="00D24283">
        <w:rPr>
          <w:b/>
          <w:color w:val="4F216A"/>
          <w:sz w:val="28"/>
          <w:szCs w:val="21"/>
        </w:rPr>
        <w:t>5  |</w:t>
      </w:r>
      <w:proofErr w:type="gramEnd"/>
      <w:r w:rsidRPr="00D24283">
        <w:rPr>
          <w:b/>
          <w:color w:val="4F216A"/>
          <w:sz w:val="28"/>
          <w:szCs w:val="21"/>
        </w:rPr>
        <w:t xml:space="preserve">  Three-year rolling </w:t>
      </w:r>
      <w:proofErr w:type="spellStart"/>
      <w:r w:rsidRPr="00D24283">
        <w:rPr>
          <w:b/>
          <w:color w:val="4F216A"/>
          <w:sz w:val="28"/>
          <w:szCs w:val="21"/>
        </w:rPr>
        <w:t>programme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250"/>
      </w:tblGrid>
      <w:tr w:rsidR="006D3162" w14:paraId="04505533" w14:textId="77777777">
        <w:trPr>
          <w:jc w:val="center"/>
        </w:trPr>
        <w:tc>
          <w:tcPr>
            <w:tcW w:w="15250" w:type="dxa"/>
            <w:shd w:val="clear" w:color="auto" w:fill="EEE4F4"/>
            <w:tcMar>
              <w:top w:w="75" w:type="dxa"/>
              <w:left w:w="145" w:type="dxa"/>
              <w:bottom w:w="75" w:type="dxa"/>
              <w:right w:w="145" w:type="dxa"/>
            </w:tcMar>
          </w:tcPr>
          <w:p w14:paraId="6F64AD11" w14:textId="5BF62BA8" w:rsidR="006D3162" w:rsidRDefault="00D24283">
            <w:pPr>
              <w:spacing w:line="240" w:lineRule="auto"/>
            </w:pPr>
            <w:r>
              <w:rPr>
                <w:b/>
                <w:color w:val="4F216A"/>
                <w:sz w:val="25"/>
              </w:rPr>
              <w:t xml:space="preserve">Years 3, 4 and </w:t>
            </w:r>
            <w:proofErr w:type="gramStart"/>
            <w:r>
              <w:rPr>
                <w:b/>
                <w:color w:val="4F216A"/>
                <w:sz w:val="25"/>
              </w:rPr>
              <w:t>5  |</w:t>
            </w:r>
            <w:proofErr w:type="gramEnd"/>
            <w:r>
              <w:rPr>
                <w:b/>
                <w:color w:val="4F216A"/>
                <w:sz w:val="25"/>
              </w:rPr>
              <w:t xml:space="preserve">  </w:t>
            </w:r>
            <w:r w:rsidR="00DB4402">
              <w:rPr>
                <w:b/>
                <w:color w:val="4F216A"/>
                <w:sz w:val="25"/>
              </w:rPr>
              <w:t xml:space="preserve">Cycle </w:t>
            </w:r>
            <w:proofErr w:type="gramStart"/>
            <w:r w:rsidR="00DB4402">
              <w:rPr>
                <w:b/>
                <w:color w:val="4F216A"/>
                <w:sz w:val="25"/>
              </w:rPr>
              <w:t>A</w:t>
            </w:r>
            <w:r w:rsidR="00DB4402">
              <w:rPr>
                <w:color w:val="4F216A"/>
              </w:rPr>
              <w:t xml:space="preserve">  |</w:t>
            </w:r>
            <w:proofErr w:type="gramEnd"/>
            <w:r w:rsidR="00DB4402">
              <w:rPr>
                <w:color w:val="4F216A"/>
              </w:rPr>
              <w:t xml:space="preserve">  2026–27</w:t>
            </w:r>
          </w:p>
        </w:tc>
      </w:tr>
    </w:tbl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50"/>
        <w:gridCol w:w="2350"/>
        <w:gridCol w:w="4650"/>
        <w:gridCol w:w="5000"/>
      </w:tblGrid>
      <w:tr w:rsidR="006D3162" w14:paraId="5F836F62" w14:textId="77777777">
        <w:trPr>
          <w:cantSplit/>
          <w:tblHeader/>
          <w:jc w:val="center"/>
        </w:trPr>
        <w:tc>
          <w:tcPr>
            <w:tcW w:w="32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18E127EC" w14:textId="77777777" w:rsidR="006D3162" w:rsidRDefault="00DB4402">
            <w:r>
              <w:rPr>
                <w:b/>
                <w:color w:val="FFFFFF"/>
                <w:sz w:val="17"/>
              </w:rPr>
              <w:t>Curriculum enquiry</w:t>
            </w:r>
          </w:p>
        </w:tc>
        <w:tc>
          <w:tcPr>
            <w:tcW w:w="23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10C54A86" w14:textId="77777777" w:rsidR="006D3162" w:rsidRDefault="00DB4402">
            <w:r>
              <w:rPr>
                <w:b/>
                <w:color w:val="FFFFFF"/>
                <w:sz w:val="17"/>
              </w:rPr>
              <w:t>Hidden figure</w:t>
            </w:r>
          </w:p>
        </w:tc>
        <w:tc>
          <w:tcPr>
            <w:tcW w:w="46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7BC8BC96" w14:textId="77777777" w:rsidR="006D3162" w:rsidRDefault="00DB4402">
            <w:r>
              <w:rPr>
                <w:b/>
                <w:color w:val="FFFFFF"/>
                <w:sz w:val="17"/>
              </w:rPr>
              <w:t>Why they matter</w:t>
            </w:r>
          </w:p>
        </w:tc>
        <w:tc>
          <w:tcPr>
            <w:tcW w:w="500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5EF7B263" w14:textId="77777777" w:rsidR="006D3162" w:rsidRDefault="00DB4402">
            <w:r>
              <w:rPr>
                <w:b/>
                <w:color w:val="FFFFFF"/>
                <w:sz w:val="17"/>
              </w:rPr>
              <w:t>Why are they hidden?</w:t>
            </w:r>
          </w:p>
        </w:tc>
      </w:tr>
      <w:tr w:rsidR="006D3162" w14:paraId="0AF8A5C6" w14:textId="77777777">
        <w:trPr>
          <w:cantSplit/>
          <w:jc w:val="center"/>
        </w:trPr>
        <w:tc>
          <w:tcPr>
            <w:tcW w:w="32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5054E043" w14:textId="77777777" w:rsidR="006D3162" w:rsidRDefault="00DB4402">
            <w:r>
              <w:rPr>
                <w:color w:val="232323"/>
                <w:sz w:val="16"/>
              </w:rPr>
              <w:t>How did life change in Britain from the Stone Age to the Iron Age?</w:t>
            </w:r>
          </w:p>
        </w:tc>
        <w:tc>
          <w:tcPr>
            <w:tcW w:w="23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632C4620" w14:textId="77777777" w:rsidR="006D3162" w:rsidRDefault="00DB4402">
            <w:r>
              <w:rPr>
                <w:b/>
                <w:color w:val="232323"/>
                <w:sz w:val="16"/>
              </w:rPr>
              <w:t>Faith Vatcher</w:t>
            </w:r>
          </w:p>
        </w:tc>
        <w:tc>
          <w:tcPr>
            <w:tcW w:w="46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348B2705" w14:textId="77777777" w:rsidR="006D3162" w:rsidRDefault="00DB4402">
            <w:r>
              <w:rPr>
                <w:color w:val="232323"/>
                <w:sz w:val="16"/>
              </w:rPr>
              <w:t>An archaeologist who co-led important excavations around Stonehenge and helped identify evidence of much earlier activity in the landscape.</w:t>
            </w:r>
          </w:p>
        </w:tc>
        <w:tc>
          <w:tcPr>
            <w:tcW w:w="500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5964CC26" w14:textId="77777777" w:rsidR="006D3162" w:rsidRDefault="00DB4402">
            <w:r>
              <w:rPr>
                <w:color w:val="232323"/>
                <w:sz w:val="16"/>
              </w:rPr>
              <w:t>Accounts of archaeology have often foregrounded better-known male excavators, while her contribution is frequently mentioned only alongside her husband’s.</w:t>
            </w:r>
          </w:p>
        </w:tc>
      </w:tr>
      <w:tr w:rsidR="006D3162" w14:paraId="65D5CC18" w14:textId="77777777">
        <w:trPr>
          <w:cantSplit/>
          <w:jc w:val="center"/>
        </w:trPr>
        <w:tc>
          <w:tcPr>
            <w:tcW w:w="32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7FFC59D8" w14:textId="77777777" w:rsidR="006D3162" w:rsidRDefault="00DB4402">
            <w:r>
              <w:rPr>
                <w:color w:val="232323"/>
                <w:sz w:val="16"/>
              </w:rPr>
              <w:t>How did the Anglo-Saxons shape Britain?</w:t>
            </w:r>
          </w:p>
        </w:tc>
        <w:tc>
          <w:tcPr>
            <w:tcW w:w="23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0F0FA729" w14:textId="77777777" w:rsidR="006D3162" w:rsidRDefault="00DB4402">
            <w:r>
              <w:rPr>
                <w:b/>
                <w:color w:val="232323"/>
                <w:sz w:val="16"/>
              </w:rPr>
              <w:t>Æthelflæd, Lady of the Mercians</w:t>
            </w:r>
          </w:p>
        </w:tc>
        <w:tc>
          <w:tcPr>
            <w:tcW w:w="46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668C94C0" w14:textId="77777777" w:rsidR="006D3162" w:rsidRDefault="00DB4402">
            <w:r>
              <w:rPr>
                <w:color w:val="232323"/>
                <w:sz w:val="16"/>
              </w:rPr>
              <w:t>A skilled ruler who defended and strengthened Mercia and played a major part in resisting Viking expansion.</w:t>
            </w:r>
          </w:p>
        </w:tc>
        <w:tc>
          <w:tcPr>
            <w:tcW w:w="500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3A33872E" w14:textId="77777777" w:rsidR="006D3162" w:rsidRDefault="00DB4402">
            <w:r>
              <w:rPr>
                <w:color w:val="232323"/>
                <w:sz w:val="16"/>
              </w:rPr>
              <w:t>Male-</w:t>
            </w:r>
            <w:proofErr w:type="spellStart"/>
            <w:r>
              <w:rPr>
                <w:color w:val="232323"/>
                <w:sz w:val="16"/>
              </w:rPr>
              <w:t>centred</w:t>
            </w:r>
            <w:proofErr w:type="spellEnd"/>
            <w:r>
              <w:rPr>
                <w:color w:val="232323"/>
                <w:sz w:val="16"/>
              </w:rPr>
              <w:t xml:space="preserve"> and West Saxon accounts gave her less attention than male rulers, despite the scale of her political and military leadership.</w:t>
            </w:r>
          </w:p>
        </w:tc>
      </w:tr>
      <w:tr w:rsidR="006D3162" w14:paraId="0CB5FB5D" w14:textId="77777777">
        <w:trPr>
          <w:cantSplit/>
          <w:jc w:val="center"/>
        </w:trPr>
        <w:tc>
          <w:tcPr>
            <w:tcW w:w="32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5603B37F" w14:textId="77777777" w:rsidR="006D3162" w:rsidRDefault="00DB4402">
            <w:r>
              <w:rPr>
                <w:color w:val="232323"/>
                <w:sz w:val="16"/>
              </w:rPr>
              <w:t>Why was the Islamic Golden Age important?</w:t>
            </w:r>
          </w:p>
        </w:tc>
        <w:tc>
          <w:tcPr>
            <w:tcW w:w="23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6709F5DD" w14:textId="77777777" w:rsidR="006D3162" w:rsidRDefault="00DB4402">
            <w:r>
              <w:rPr>
                <w:b/>
                <w:color w:val="232323"/>
                <w:sz w:val="16"/>
              </w:rPr>
              <w:t>Lubna of Córdoba</w:t>
            </w:r>
          </w:p>
        </w:tc>
        <w:tc>
          <w:tcPr>
            <w:tcW w:w="46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0429FA41" w14:textId="77777777" w:rsidR="006D3162" w:rsidRDefault="00DB4402">
            <w:r>
              <w:rPr>
                <w:color w:val="232323"/>
                <w:sz w:val="16"/>
              </w:rPr>
              <w:t>Remembered as a highly educated scholar, librarian and mathematician in 10th-century Córdoba.</w:t>
            </w:r>
          </w:p>
        </w:tc>
        <w:tc>
          <w:tcPr>
            <w:tcW w:w="500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5972305B" w14:textId="77777777" w:rsidR="006D3162" w:rsidRDefault="00DB4402">
            <w:r>
              <w:rPr>
                <w:color w:val="232323"/>
                <w:sz w:val="16"/>
              </w:rPr>
              <w:t>Women’s intellectual contribution to the Islamic Golden Age is less often represented than that of male scholars, so her story adds an important gender perspective.</w:t>
            </w:r>
          </w:p>
        </w:tc>
      </w:tr>
    </w:tbl>
    <w:p w14:paraId="0141305D" w14:textId="6BF2C82C" w:rsidR="006D3162" w:rsidRPr="00D24283" w:rsidRDefault="006D3162" w:rsidP="00D24283">
      <w:pPr>
        <w:rPr>
          <w:sz w:val="16"/>
          <w:szCs w:val="21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250"/>
      </w:tblGrid>
      <w:tr w:rsidR="006D3162" w14:paraId="522D9EB0" w14:textId="77777777">
        <w:trPr>
          <w:jc w:val="center"/>
        </w:trPr>
        <w:tc>
          <w:tcPr>
            <w:tcW w:w="15250" w:type="dxa"/>
            <w:shd w:val="clear" w:color="auto" w:fill="EEE4F4"/>
            <w:tcMar>
              <w:top w:w="75" w:type="dxa"/>
              <w:left w:w="145" w:type="dxa"/>
              <w:bottom w:w="75" w:type="dxa"/>
              <w:right w:w="145" w:type="dxa"/>
            </w:tcMar>
          </w:tcPr>
          <w:p w14:paraId="3CE9033A" w14:textId="79311B57" w:rsidR="006D3162" w:rsidRDefault="00D24283">
            <w:pPr>
              <w:spacing w:line="240" w:lineRule="auto"/>
            </w:pPr>
            <w:r>
              <w:rPr>
                <w:b/>
                <w:color w:val="4F216A"/>
                <w:sz w:val="25"/>
              </w:rPr>
              <w:t xml:space="preserve">Years 3, 4 and </w:t>
            </w:r>
            <w:proofErr w:type="gramStart"/>
            <w:r>
              <w:rPr>
                <w:b/>
                <w:color w:val="4F216A"/>
                <w:sz w:val="25"/>
              </w:rPr>
              <w:t>5  |</w:t>
            </w:r>
            <w:proofErr w:type="gramEnd"/>
            <w:r>
              <w:rPr>
                <w:b/>
                <w:color w:val="4F216A"/>
                <w:sz w:val="25"/>
              </w:rPr>
              <w:t xml:space="preserve">  </w:t>
            </w:r>
            <w:r w:rsidR="00DB4402">
              <w:rPr>
                <w:b/>
                <w:color w:val="4F216A"/>
                <w:sz w:val="25"/>
              </w:rPr>
              <w:t xml:space="preserve">Cycle </w:t>
            </w:r>
            <w:proofErr w:type="gramStart"/>
            <w:r w:rsidR="00DB4402">
              <w:rPr>
                <w:b/>
                <w:color w:val="4F216A"/>
                <w:sz w:val="25"/>
              </w:rPr>
              <w:t>B</w:t>
            </w:r>
            <w:r w:rsidR="00DB4402">
              <w:rPr>
                <w:color w:val="4F216A"/>
              </w:rPr>
              <w:t xml:space="preserve">  |</w:t>
            </w:r>
            <w:proofErr w:type="gramEnd"/>
            <w:r w:rsidR="00DB4402">
              <w:rPr>
                <w:color w:val="4F216A"/>
              </w:rPr>
              <w:t xml:space="preserve">  2027–28</w:t>
            </w:r>
          </w:p>
        </w:tc>
      </w:tr>
    </w:tbl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50"/>
        <w:gridCol w:w="2350"/>
        <w:gridCol w:w="4650"/>
        <w:gridCol w:w="5000"/>
      </w:tblGrid>
      <w:tr w:rsidR="006D3162" w14:paraId="76D37030" w14:textId="77777777">
        <w:trPr>
          <w:cantSplit/>
          <w:tblHeader/>
          <w:jc w:val="center"/>
        </w:trPr>
        <w:tc>
          <w:tcPr>
            <w:tcW w:w="32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3B2DAA58" w14:textId="77777777" w:rsidR="006D3162" w:rsidRDefault="00DB4402">
            <w:r>
              <w:rPr>
                <w:b/>
                <w:color w:val="FFFFFF"/>
                <w:sz w:val="17"/>
              </w:rPr>
              <w:t>Curriculum enquiry</w:t>
            </w:r>
          </w:p>
        </w:tc>
        <w:tc>
          <w:tcPr>
            <w:tcW w:w="23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61ECB4BA" w14:textId="77777777" w:rsidR="006D3162" w:rsidRDefault="00DB4402">
            <w:r>
              <w:rPr>
                <w:b/>
                <w:color w:val="FFFFFF"/>
                <w:sz w:val="17"/>
              </w:rPr>
              <w:t>Hidden figure</w:t>
            </w:r>
          </w:p>
        </w:tc>
        <w:tc>
          <w:tcPr>
            <w:tcW w:w="46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50DE3DB4" w14:textId="77777777" w:rsidR="006D3162" w:rsidRDefault="00DB4402">
            <w:r>
              <w:rPr>
                <w:b/>
                <w:color w:val="FFFFFF"/>
                <w:sz w:val="17"/>
              </w:rPr>
              <w:t>Why they matter</w:t>
            </w:r>
          </w:p>
        </w:tc>
        <w:tc>
          <w:tcPr>
            <w:tcW w:w="500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78F1FF13" w14:textId="77777777" w:rsidR="006D3162" w:rsidRDefault="00DB4402">
            <w:r>
              <w:rPr>
                <w:b/>
                <w:color w:val="FFFFFF"/>
                <w:sz w:val="17"/>
              </w:rPr>
              <w:t>Why are they hidden?</w:t>
            </w:r>
          </w:p>
        </w:tc>
      </w:tr>
      <w:tr w:rsidR="006D3162" w14:paraId="6F6C7014" w14:textId="77777777">
        <w:trPr>
          <w:cantSplit/>
          <w:jc w:val="center"/>
        </w:trPr>
        <w:tc>
          <w:tcPr>
            <w:tcW w:w="32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2883DE0C" w14:textId="77777777" w:rsidR="006D3162" w:rsidRDefault="00DB4402">
            <w:r>
              <w:rPr>
                <w:color w:val="232323"/>
                <w:sz w:val="16"/>
              </w:rPr>
              <w:t>What can we learn from Ancient Egypt?</w:t>
            </w:r>
          </w:p>
        </w:tc>
        <w:tc>
          <w:tcPr>
            <w:tcW w:w="23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65EA2888" w14:textId="77777777" w:rsidR="006D3162" w:rsidRDefault="00DB4402">
            <w:r>
              <w:rPr>
                <w:b/>
                <w:color w:val="232323"/>
                <w:sz w:val="16"/>
              </w:rPr>
              <w:t>Hatshepsut</w:t>
            </w:r>
          </w:p>
        </w:tc>
        <w:tc>
          <w:tcPr>
            <w:tcW w:w="46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6321CFC2" w14:textId="77777777" w:rsidR="006D3162" w:rsidRDefault="00DB4402">
            <w:r>
              <w:rPr>
                <w:color w:val="232323"/>
                <w:sz w:val="16"/>
              </w:rPr>
              <w:t>One of ancient Egypt’s most successful pharaohs, associated with trade, building projects and a long, stable reign.</w:t>
            </w:r>
          </w:p>
        </w:tc>
        <w:tc>
          <w:tcPr>
            <w:tcW w:w="500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232C23F7" w14:textId="77777777" w:rsidR="006D3162" w:rsidRDefault="00DB4402">
            <w:r>
              <w:rPr>
                <w:color w:val="232323"/>
                <w:sz w:val="16"/>
              </w:rPr>
              <w:t>After her death, parts of her image and name were deliberately removed, and later retellings often treated a female pharaoh as an exception.</w:t>
            </w:r>
          </w:p>
        </w:tc>
      </w:tr>
      <w:tr w:rsidR="006D3162" w14:paraId="17FBC0F0" w14:textId="77777777">
        <w:trPr>
          <w:cantSplit/>
          <w:jc w:val="center"/>
        </w:trPr>
        <w:tc>
          <w:tcPr>
            <w:tcW w:w="32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2E1495B2" w14:textId="77777777" w:rsidR="006D3162" w:rsidRDefault="00DB4402">
            <w:r>
              <w:rPr>
                <w:color w:val="232323"/>
                <w:sz w:val="16"/>
              </w:rPr>
              <w:t>Were the Vikings only raiders?</w:t>
            </w:r>
          </w:p>
        </w:tc>
        <w:tc>
          <w:tcPr>
            <w:tcW w:w="23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66BF8CD4" w14:textId="77777777" w:rsidR="006D3162" w:rsidRDefault="00DB4402">
            <w:r>
              <w:rPr>
                <w:b/>
                <w:color w:val="232323"/>
                <w:sz w:val="16"/>
              </w:rPr>
              <w:t>Gudrid Thorbjarnardóttir</w:t>
            </w:r>
          </w:p>
        </w:tc>
        <w:tc>
          <w:tcPr>
            <w:tcW w:w="46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5D8A7F93" w14:textId="77777777" w:rsidR="006D3162" w:rsidRDefault="00DB4402">
            <w:r>
              <w:rPr>
                <w:color w:val="232323"/>
                <w:sz w:val="16"/>
              </w:rPr>
              <w:t>Remembered in the Vinland sagas as an Icelandic woman who travelled widely and took part in Norse settlement journeys across the North Atlantic.</w:t>
            </w:r>
          </w:p>
        </w:tc>
        <w:tc>
          <w:tcPr>
            <w:tcW w:w="500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254D0D16" w14:textId="77777777" w:rsidR="006D3162" w:rsidRDefault="00DB4402">
            <w:r>
              <w:rPr>
                <w:color w:val="232323"/>
                <w:sz w:val="16"/>
              </w:rPr>
              <w:t>Popular Viking stories focus on male raiders and explorers, obscuring women’s roles in travel, settlement, family life and cultural exchange.</w:t>
            </w:r>
          </w:p>
        </w:tc>
      </w:tr>
      <w:tr w:rsidR="006D3162" w14:paraId="3B916487" w14:textId="77777777">
        <w:trPr>
          <w:cantSplit/>
          <w:jc w:val="center"/>
        </w:trPr>
        <w:tc>
          <w:tcPr>
            <w:tcW w:w="32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302576A7" w14:textId="77777777" w:rsidR="006D3162" w:rsidRDefault="00DB4402">
            <w:r>
              <w:rPr>
                <w:color w:val="232323"/>
                <w:sz w:val="16"/>
              </w:rPr>
              <w:t>What was life like in Tudor England?</w:t>
            </w:r>
          </w:p>
        </w:tc>
        <w:tc>
          <w:tcPr>
            <w:tcW w:w="23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2845B8BD" w14:textId="77777777" w:rsidR="006D3162" w:rsidRDefault="00DB4402">
            <w:r>
              <w:rPr>
                <w:b/>
                <w:color w:val="232323"/>
                <w:sz w:val="16"/>
              </w:rPr>
              <w:t>John Blanke</w:t>
            </w:r>
          </w:p>
        </w:tc>
        <w:tc>
          <w:tcPr>
            <w:tcW w:w="46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15CCFCDC" w14:textId="77777777" w:rsidR="006D3162" w:rsidRDefault="00DB4402">
            <w:r>
              <w:rPr>
                <w:color w:val="232323"/>
                <w:sz w:val="16"/>
              </w:rPr>
              <w:t>A Black trumpeter at the courts of Henry VII and Henry VIII, shown in the Westminster Tournament Roll.</w:t>
            </w:r>
          </w:p>
        </w:tc>
        <w:tc>
          <w:tcPr>
            <w:tcW w:w="500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740D415C" w14:textId="77777777" w:rsidR="006D3162" w:rsidRDefault="00DB4402">
            <w:r>
              <w:rPr>
                <w:color w:val="232323"/>
                <w:sz w:val="16"/>
              </w:rPr>
              <w:t>Tudor history usually centres monarchs and nobles, while the lives of ordinary Black Tudors are harder to recover from surviving records.</w:t>
            </w:r>
          </w:p>
        </w:tc>
      </w:tr>
    </w:tbl>
    <w:p w14:paraId="53CA5D7E" w14:textId="77777777" w:rsidR="006D3162" w:rsidRDefault="00DB4402">
      <w:pPr>
        <w:spacing w:line="160" w:lineRule="exact"/>
      </w:pPr>
      <w:r>
        <w:rPr>
          <w:color w:val="232323"/>
          <w:sz w:val="2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250"/>
      </w:tblGrid>
      <w:tr w:rsidR="006D3162" w14:paraId="3FFEE0F0" w14:textId="77777777">
        <w:trPr>
          <w:jc w:val="center"/>
        </w:trPr>
        <w:tc>
          <w:tcPr>
            <w:tcW w:w="15250" w:type="dxa"/>
            <w:shd w:val="clear" w:color="auto" w:fill="EEE4F4"/>
            <w:tcMar>
              <w:top w:w="75" w:type="dxa"/>
              <w:left w:w="145" w:type="dxa"/>
              <w:bottom w:w="75" w:type="dxa"/>
              <w:right w:w="145" w:type="dxa"/>
            </w:tcMar>
          </w:tcPr>
          <w:p w14:paraId="15718B6F" w14:textId="77777777" w:rsidR="006D3162" w:rsidRDefault="00DB4402">
            <w:pPr>
              <w:spacing w:line="240" w:lineRule="auto"/>
            </w:pPr>
            <w:r>
              <w:rPr>
                <w:b/>
                <w:color w:val="4F216A"/>
                <w:sz w:val="25"/>
              </w:rPr>
              <w:t>Years 3, 4 and 5  |  Cycle C</w:t>
            </w:r>
            <w:r>
              <w:rPr>
                <w:color w:val="4F216A"/>
              </w:rPr>
              <w:t xml:space="preserve">  |  2028–29</w:t>
            </w:r>
          </w:p>
        </w:tc>
      </w:tr>
    </w:tbl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50"/>
        <w:gridCol w:w="2350"/>
        <w:gridCol w:w="4650"/>
        <w:gridCol w:w="5000"/>
      </w:tblGrid>
      <w:tr w:rsidR="006D3162" w14:paraId="4199D9A2" w14:textId="77777777">
        <w:trPr>
          <w:cantSplit/>
          <w:tblHeader/>
          <w:jc w:val="center"/>
        </w:trPr>
        <w:tc>
          <w:tcPr>
            <w:tcW w:w="32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30083932" w14:textId="77777777" w:rsidR="006D3162" w:rsidRDefault="00DB4402">
            <w:r>
              <w:rPr>
                <w:b/>
                <w:color w:val="FFFFFF"/>
                <w:sz w:val="17"/>
              </w:rPr>
              <w:t>Curriculum enquiry</w:t>
            </w:r>
          </w:p>
        </w:tc>
        <w:tc>
          <w:tcPr>
            <w:tcW w:w="23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4686FD1E" w14:textId="77777777" w:rsidR="006D3162" w:rsidRDefault="00DB4402">
            <w:r>
              <w:rPr>
                <w:b/>
                <w:color w:val="FFFFFF"/>
                <w:sz w:val="17"/>
              </w:rPr>
              <w:t>Hidden figure</w:t>
            </w:r>
          </w:p>
        </w:tc>
        <w:tc>
          <w:tcPr>
            <w:tcW w:w="46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43A94C74" w14:textId="77777777" w:rsidR="006D3162" w:rsidRDefault="00DB4402">
            <w:r>
              <w:rPr>
                <w:b/>
                <w:color w:val="FFFFFF"/>
                <w:sz w:val="17"/>
              </w:rPr>
              <w:t>Why they matter</w:t>
            </w:r>
          </w:p>
        </w:tc>
        <w:tc>
          <w:tcPr>
            <w:tcW w:w="500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50E6CED6" w14:textId="77777777" w:rsidR="006D3162" w:rsidRDefault="00DB4402">
            <w:r>
              <w:rPr>
                <w:b/>
                <w:color w:val="FFFFFF"/>
                <w:sz w:val="17"/>
              </w:rPr>
              <w:t>Why are they hidden?</w:t>
            </w:r>
          </w:p>
        </w:tc>
      </w:tr>
      <w:tr w:rsidR="006D3162" w14:paraId="33605CC9" w14:textId="77777777">
        <w:trPr>
          <w:cantSplit/>
          <w:jc w:val="center"/>
        </w:trPr>
        <w:tc>
          <w:tcPr>
            <w:tcW w:w="32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463EF949" w14:textId="77777777" w:rsidR="006D3162" w:rsidRDefault="00DB4402">
            <w:r>
              <w:rPr>
                <w:color w:val="232323"/>
                <w:sz w:val="16"/>
              </w:rPr>
              <w:t>What was the impact of the Roman invasion of Britain?</w:t>
            </w:r>
          </w:p>
        </w:tc>
        <w:tc>
          <w:tcPr>
            <w:tcW w:w="23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78EE52C3" w14:textId="77777777" w:rsidR="006D3162" w:rsidRDefault="00DB4402">
            <w:r>
              <w:rPr>
                <w:b/>
                <w:color w:val="232323"/>
                <w:sz w:val="16"/>
              </w:rPr>
              <w:t>Queen Amanirenas</w:t>
            </w:r>
          </w:p>
        </w:tc>
        <w:tc>
          <w:tcPr>
            <w:tcW w:w="46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69E9FC99" w14:textId="77777777" w:rsidR="006D3162" w:rsidRDefault="00DB4402">
            <w:r>
              <w:rPr>
                <w:color w:val="232323"/>
                <w:sz w:val="16"/>
              </w:rPr>
              <w:t>A ruler of the Kingdom of Kush who led resistance to Roman expansion. She offers a useful comparison with Boudicca and the Roman viewpoint.</w:t>
            </w:r>
          </w:p>
        </w:tc>
        <w:tc>
          <w:tcPr>
            <w:tcW w:w="500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508C59DD" w14:textId="77777777" w:rsidR="006D3162" w:rsidRDefault="00DB4402">
            <w:r>
              <w:rPr>
                <w:color w:val="232323"/>
                <w:sz w:val="16"/>
              </w:rPr>
              <w:t>Roman history is usually told from a Roman or European perspective, so African kingdoms and women who resisted Roman power receive less attention.</w:t>
            </w:r>
          </w:p>
        </w:tc>
      </w:tr>
      <w:tr w:rsidR="006D3162" w14:paraId="4D665AF2" w14:textId="77777777">
        <w:trPr>
          <w:cantSplit/>
          <w:jc w:val="center"/>
        </w:trPr>
        <w:tc>
          <w:tcPr>
            <w:tcW w:w="32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12D45B45" w14:textId="77777777" w:rsidR="006D3162" w:rsidRDefault="00DB4402">
            <w:r>
              <w:rPr>
                <w:color w:val="232323"/>
                <w:sz w:val="16"/>
              </w:rPr>
              <w:t>What is the legacy of Ancient Greece?</w:t>
            </w:r>
          </w:p>
        </w:tc>
        <w:tc>
          <w:tcPr>
            <w:tcW w:w="23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77BE2E25" w14:textId="77777777" w:rsidR="006D3162" w:rsidRDefault="00DB4402">
            <w:r>
              <w:rPr>
                <w:b/>
                <w:color w:val="232323"/>
                <w:sz w:val="16"/>
              </w:rPr>
              <w:t>Aspasia</w:t>
            </w:r>
          </w:p>
        </w:tc>
        <w:tc>
          <w:tcPr>
            <w:tcW w:w="46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55FD379A" w14:textId="77777777" w:rsidR="006D3162" w:rsidRDefault="00DB4402">
            <w:r>
              <w:rPr>
                <w:color w:val="232323"/>
                <w:sz w:val="16"/>
              </w:rPr>
              <w:t>An influential woman in ancient Athens who was associated with philosophy, rhetoric and leading intellectual figures of the period.</w:t>
            </w:r>
          </w:p>
        </w:tc>
        <w:tc>
          <w:tcPr>
            <w:tcW w:w="500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6E4AFA04" w14:textId="77777777" w:rsidR="006D3162" w:rsidRDefault="00DB4402">
            <w:r>
              <w:rPr>
                <w:color w:val="232323"/>
                <w:sz w:val="16"/>
              </w:rPr>
              <w:t>Few women’s voices survive from Ancient Greece, and much of what is known about Aspasia was recorded by male writers. She adds a female perspective to Athenian society.</w:t>
            </w:r>
          </w:p>
        </w:tc>
      </w:tr>
      <w:tr w:rsidR="006D3162" w14:paraId="7F58B765" w14:textId="77777777">
        <w:trPr>
          <w:cantSplit/>
          <w:jc w:val="center"/>
        </w:trPr>
        <w:tc>
          <w:tcPr>
            <w:tcW w:w="32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6ABBDA8A" w14:textId="77777777" w:rsidR="006D3162" w:rsidRDefault="00DB4402">
            <w:r>
              <w:rPr>
                <w:color w:val="232323"/>
                <w:sz w:val="16"/>
              </w:rPr>
              <w:t>How have Black Britons shaped Britain?</w:t>
            </w:r>
          </w:p>
        </w:tc>
        <w:tc>
          <w:tcPr>
            <w:tcW w:w="23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43BBDE2A" w14:textId="77777777" w:rsidR="006D3162" w:rsidRDefault="00DB4402">
            <w:r>
              <w:rPr>
                <w:b/>
                <w:color w:val="232323"/>
                <w:sz w:val="16"/>
              </w:rPr>
              <w:t>Lilian Bader</w:t>
            </w:r>
          </w:p>
        </w:tc>
        <w:tc>
          <w:tcPr>
            <w:tcW w:w="46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1946B8AB" w14:textId="77777777" w:rsidR="006D3162" w:rsidRDefault="00DB4402">
            <w:r>
              <w:rPr>
                <w:color w:val="232323"/>
                <w:sz w:val="16"/>
              </w:rPr>
              <w:t>One of the first Black women to serve in the Women’s Auxiliary Air Force, where she trained as an instrument repairer.</w:t>
            </w:r>
          </w:p>
        </w:tc>
        <w:tc>
          <w:tcPr>
            <w:tcW w:w="500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49272F91" w14:textId="77777777" w:rsidR="006D3162" w:rsidRDefault="00DB4402">
            <w:r>
              <w:rPr>
                <w:color w:val="232323"/>
                <w:sz w:val="16"/>
              </w:rPr>
              <w:t>Wartime accounts often foreground male pilots and combat, while Black women’s skilled technical service receives much less attention.</w:t>
            </w:r>
          </w:p>
        </w:tc>
      </w:tr>
    </w:tbl>
    <w:p w14:paraId="27E83856" w14:textId="31620BC1" w:rsidR="006D3162" w:rsidRDefault="00DB4402" w:rsidP="00D24283">
      <w:r>
        <w:br w:type="page"/>
      </w:r>
      <w:r>
        <w:rPr>
          <w:b/>
          <w:color w:val="4F216A"/>
          <w:sz w:val="32"/>
        </w:rPr>
        <w:lastRenderedPageBreak/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250"/>
      </w:tblGrid>
      <w:tr w:rsidR="006D3162" w14:paraId="52CD87B1" w14:textId="77777777">
        <w:trPr>
          <w:jc w:val="center"/>
        </w:trPr>
        <w:tc>
          <w:tcPr>
            <w:tcW w:w="15250" w:type="dxa"/>
            <w:shd w:val="clear" w:color="auto" w:fill="EEE4F4"/>
            <w:tcMar>
              <w:top w:w="75" w:type="dxa"/>
              <w:left w:w="145" w:type="dxa"/>
              <w:bottom w:w="75" w:type="dxa"/>
              <w:right w:w="145" w:type="dxa"/>
            </w:tcMar>
          </w:tcPr>
          <w:p w14:paraId="12C60C2B" w14:textId="77777777" w:rsidR="006D3162" w:rsidRDefault="00DB4402">
            <w:pPr>
              <w:spacing w:line="240" w:lineRule="auto"/>
            </w:pPr>
            <w:r>
              <w:rPr>
                <w:b/>
                <w:color w:val="4F216A"/>
                <w:sz w:val="25"/>
              </w:rPr>
              <w:t xml:space="preserve">Year </w:t>
            </w:r>
            <w:proofErr w:type="gramStart"/>
            <w:r>
              <w:rPr>
                <w:b/>
                <w:color w:val="4F216A"/>
                <w:sz w:val="25"/>
              </w:rPr>
              <w:t>6</w:t>
            </w:r>
            <w:r>
              <w:rPr>
                <w:color w:val="4F216A"/>
              </w:rPr>
              <w:t xml:space="preserve">  |</w:t>
            </w:r>
            <w:proofErr w:type="gramEnd"/>
            <w:r>
              <w:rPr>
                <w:color w:val="4F216A"/>
              </w:rPr>
              <w:t xml:space="preserve">  standalone programme</w:t>
            </w:r>
          </w:p>
        </w:tc>
      </w:tr>
    </w:tbl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50"/>
        <w:gridCol w:w="2350"/>
        <w:gridCol w:w="4650"/>
        <w:gridCol w:w="5000"/>
      </w:tblGrid>
      <w:tr w:rsidR="006D3162" w14:paraId="6B8FD4EA" w14:textId="77777777">
        <w:trPr>
          <w:cantSplit/>
          <w:tblHeader/>
          <w:jc w:val="center"/>
        </w:trPr>
        <w:tc>
          <w:tcPr>
            <w:tcW w:w="32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31DB6260" w14:textId="77777777" w:rsidR="006D3162" w:rsidRDefault="00DB4402">
            <w:r>
              <w:rPr>
                <w:b/>
                <w:color w:val="FFFFFF"/>
                <w:sz w:val="17"/>
              </w:rPr>
              <w:t>Curriculum enquiry</w:t>
            </w:r>
          </w:p>
        </w:tc>
        <w:tc>
          <w:tcPr>
            <w:tcW w:w="23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4859C4E2" w14:textId="77777777" w:rsidR="006D3162" w:rsidRDefault="00DB4402">
            <w:r>
              <w:rPr>
                <w:b/>
                <w:color w:val="FFFFFF"/>
                <w:sz w:val="17"/>
              </w:rPr>
              <w:t>Hidden figure</w:t>
            </w:r>
          </w:p>
        </w:tc>
        <w:tc>
          <w:tcPr>
            <w:tcW w:w="465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36E2DAEF" w14:textId="77777777" w:rsidR="006D3162" w:rsidRDefault="00DB4402">
            <w:r>
              <w:rPr>
                <w:b/>
                <w:color w:val="FFFFFF"/>
                <w:sz w:val="17"/>
              </w:rPr>
              <w:t>Why they matter</w:t>
            </w:r>
          </w:p>
        </w:tc>
        <w:tc>
          <w:tcPr>
            <w:tcW w:w="5000" w:type="dxa"/>
            <w:shd w:val="clear" w:color="auto" w:fill="7030A0"/>
            <w:tcMar>
              <w:top w:w="75" w:type="dxa"/>
              <w:left w:w="100" w:type="dxa"/>
              <w:bottom w:w="75" w:type="dxa"/>
              <w:right w:w="100" w:type="dxa"/>
            </w:tcMar>
            <w:vAlign w:val="center"/>
          </w:tcPr>
          <w:p w14:paraId="37F5CB95" w14:textId="77777777" w:rsidR="006D3162" w:rsidRDefault="00DB4402">
            <w:r>
              <w:rPr>
                <w:b/>
                <w:color w:val="FFFFFF"/>
                <w:sz w:val="17"/>
              </w:rPr>
              <w:t>Why are they hidden?</w:t>
            </w:r>
          </w:p>
        </w:tc>
      </w:tr>
      <w:tr w:rsidR="006D3162" w14:paraId="6742E1D5" w14:textId="77777777">
        <w:trPr>
          <w:cantSplit/>
          <w:jc w:val="center"/>
        </w:trPr>
        <w:tc>
          <w:tcPr>
            <w:tcW w:w="32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07E80148" w14:textId="77777777" w:rsidR="006D3162" w:rsidRDefault="00DB4402">
            <w:r>
              <w:rPr>
                <w:color w:val="232323"/>
                <w:sz w:val="16"/>
              </w:rPr>
              <w:t>What made the Kingdom of Benin significant?</w:t>
            </w:r>
          </w:p>
        </w:tc>
        <w:tc>
          <w:tcPr>
            <w:tcW w:w="23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6A85ECC3" w14:textId="77777777" w:rsidR="006D3162" w:rsidRDefault="00DB4402">
            <w:r>
              <w:rPr>
                <w:b/>
                <w:color w:val="232323"/>
                <w:sz w:val="16"/>
              </w:rPr>
              <w:t>Queen Idia</w:t>
            </w:r>
          </w:p>
        </w:tc>
        <w:tc>
          <w:tcPr>
            <w:tcW w:w="46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2ED8EB3A" w14:textId="77777777" w:rsidR="006D3162" w:rsidRDefault="00DB4402">
            <w:r>
              <w:rPr>
                <w:color w:val="232323"/>
                <w:sz w:val="16"/>
              </w:rPr>
              <w:t>A powerful Iyoba (Queen Mother) associated with political leadership and military support in the Kingdom of Benin.</w:t>
            </w:r>
          </w:p>
        </w:tc>
        <w:tc>
          <w:tcPr>
            <w:tcW w:w="500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52C4E99C" w14:textId="77777777" w:rsidR="006D3162" w:rsidRDefault="00DB4402">
            <w:r>
              <w:rPr>
                <w:color w:val="232323"/>
                <w:sz w:val="16"/>
              </w:rPr>
              <w:t>Benin is often taught through its Obas and famous artworks, while the influence of the Queen Mother is less widely explored.</w:t>
            </w:r>
          </w:p>
        </w:tc>
      </w:tr>
      <w:tr w:rsidR="006D3162" w14:paraId="04D80F42" w14:textId="77777777">
        <w:trPr>
          <w:cantSplit/>
          <w:jc w:val="center"/>
        </w:trPr>
        <w:tc>
          <w:tcPr>
            <w:tcW w:w="32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0BDE9242" w14:textId="77777777" w:rsidR="006D3162" w:rsidRDefault="00DB4402">
            <w:r>
              <w:rPr>
                <w:color w:val="232323"/>
                <w:sz w:val="16"/>
              </w:rPr>
              <w:t>Why was Salisbury important to aviation in the First World War?</w:t>
            </w:r>
          </w:p>
        </w:tc>
        <w:tc>
          <w:tcPr>
            <w:tcW w:w="23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749D9456" w14:textId="77777777" w:rsidR="006D3162" w:rsidRDefault="00DB4402">
            <w:r>
              <w:rPr>
                <w:b/>
                <w:color w:val="232323"/>
                <w:sz w:val="16"/>
              </w:rPr>
              <w:t>Dorothy Lawrence</w:t>
            </w:r>
          </w:p>
        </w:tc>
        <w:tc>
          <w:tcPr>
            <w:tcW w:w="465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5C50A771" w14:textId="77777777" w:rsidR="006D3162" w:rsidRDefault="00DB4402">
            <w:r>
              <w:rPr>
                <w:color w:val="232323"/>
                <w:sz w:val="16"/>
              </w:rPr>
              <w:t>A young journalist who disguised herself as a soldier so that she could report from the Western Front. She provides a wider First World War comparison alongside the local aviation study.</w:t>
            </w:r>
          </w:p>
        </w:tc>
        <w:tc>
          <w:tcPr>
            <w:tcW w:w="5000" w:type="dxa"/>
            <w:shd w:val="clear" w:color="auto" w:fill="F4F4F4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1D34922A" w14:textId="77777777" w:rsidR="006D3162" w:rsidRDefault="00DB4402">
            <w:r>
              <w:rPr>
                <w:color w:val="232323"/>
                <w:sz w:val="16"/>
              </w:rPr>
              <w:t>Women were excluded from front-line reporting, and publication of her account was restricted during the war. Her experience adds a female perspective to wartime history.</w:t>
            </w:r>
          </w:p>
        </w:tc>
      </w:tr>
      <w:tr w:rsidR="006D3162" w14:paraId="464ED7E9" w14:textId="77777777">
        <w:trPr>
          <w:cantSplit/>
          <w:jc w:val="center"/>
        </w:trPr>
        <w:tc>
          <w:tcPr>
            <w:tcW w:w="32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6FCDFAB7" w14:textId="77777777" w:rsidR="006D3162" w:rsidRDefault="00DB4402">
            <w:r>
              <w:rPr>
                <w:color w:val="232323"/>
                <w:sz w:val="16"/>
              </w:rPr>
              <w:t>How have crime and punishment changed over time?</w:t>
            </w:r>
          </w:p>
        </w:tc>
        <w:tc>
          <w:tcPr>
            <w:tcW w:w="23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4C1830F8" w14:textId="77777777" w:rsidR="006D3162" w:rsidRDefault="00DB4402">
            <w:r>
              <w:rPr>
                <w:b/>
                <w:color w:val="232323"/>
                <w:sz w:val="16"/>
              </w:rPr>
              <w:t>John Kent</w:t>
            </w:r>
          </w:p>
        </w:tc>
        <w:tc>
          <w:tcPr>
            <w:tcW w:w="465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571B88E9" w14:textId="77777777" w:rsidR="006D3162" w:rsidRDefault="00DB4402">
            <w:r>
              <w:rPr>
                <w:color w:val="232323"/>
                <w:sz w:val="16"/>
              </w:rPr>
              <w:t>A police officer in Carlisle from 1837, widely recognised as Britain’s first Black police officer.</w:t>
            </w:r>
          </w:p>
        </w:tc>
        <w:tc>
          <w:tcPr>
            <w:tcW w:w="5000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56604549" w14:textId="77777777" w:rsidR="006D3162" w:rsidRDefault="00DB4402">
            <w:r>
              <w:rPr>
                <w:color w:val="232323"/>
                <w:sz w:val="16"/>
              </w:rPr>
              <w:t>His story was recovered from historical records much later, so it did not appear in many established accounts of British policing.</w:t>
            </w:r>
          </w:p>
        </w:tc>
      </w:tr>
    </w:tbl>
    <w:p w14:paraId="59BDF00B" w14:textId="598E5B0A" w:rsidR="00D24283" w:rsidRDefault="00DB4402" w:rsidP="00D24283">
      <w:pPr>
        <w:spacing w:line="200" w:lineRule="exact"/>
        <w:rPr>
          <w:i/>
          <w:color w:val="5A5A5A"/>
          <w:sz w:val="16"/>
        </w:rPr>
      </w:pPr>
      <w:r>
        <w:rPr>
          <w:color w:val="232323"/>
          <w:sz w:val="2"/>
        </w:rPr>
        <w:t xml:space="preserve"> </w:t>
      </w:r>
    </w:p>
    <w:p w14:paraId="35030E96" w14:textId="45476852" w:rsidR="006D3162" w:rsidRDefault="006D3162">
      <w:pPr>
        <w:spacing w:line="240" w:lineRule="auto"/>
        <w:jc w:val="center"/>
      </w:pPr>
    </w:p>
    <w:sectPr w:rsidR="006D3162" w:rsidSect="00034616">
      <w:footerReference w:type="default" r:id="rId9"/>
      <w:pgSz w:w="16834" w:h="11909" w:orient="landscape"/>
      <w:pgMar w:top="432" w:right="792" w:bottom="547" w:left="792" w:header="2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D53E4" w14:textId="77777777" w:rsidR="00DB4402" w:rsidRDefault="00DB4402">
      <w:pPr>
        <w:spacing w:line="240" w:lineRule="auto"/>
      </w:pPr>
      <w:r>
        <w:separator/>
      </w:r>
    </w:p>
  </w:endnote>
  <w:endnote w:type="continuationSeparator" w:id="0">
    <w:p w14:paraId="254C9DD7" w14:textId="77777777" w:rsidR="00DB4402" w:rsidRDefault="00DB44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CB1E6" w14:textId="77777777" w:rsidR="006D3162" w:rsidRDefault="006D3162">
    <w:pPr>
      <w:pStyle w:val="Footer"/>
    </w:pPr>
  </w:p>
  <w:tbl>
    <w:tblPr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12000"/>
      <w:gridCol w:w="3250"/>
    </w:tblGrid>
    <w:tr w:rsidR="006D3162" w14:paraId="51036635" w14:textId="77777777">
      <w:trPr>
        <w:jc w:val="center"/>
      </w:trPr>
      <w:tc>
        <w:tcPr>
          <w:tcW w:w="12000" w:type="dxa"/>
          <w:tcMar>
            <w:top w:w="0" w:type="dxa"/>
            <w:left w:w="0" w:type="dxa"/>
            <w:bottom w:w="0" w:type="dxa"/>
            <w:right w:w="0" w:type="dxa"/>
          </w:tcMar>
        </w:tcPr>
        <w:p w14:paraId="1E91A48A" w14:textId="77777777" w:rsidR="006D3162" w:rsidRDefault="00DB4402">
          <w:pPr>
            <w:spacing w:line="240" w:lineRule="auto"/>
          </w:pPr>
          <w:r>
            <w:rPr>
              <w:color w:val="5A5A5A"/>
              <w:sz w:val="15"/>
            </w:rPr>
            <w:t xml:space="preserve">St Martin’s CE Primary </w:t>
          </w:r>
          <w:proofErr w:type="gramStart"/>
          <w:r>
            <w:rPr>
              <w:color w:val="5A5A5A"/>
              <w:sz w:val="15"/>
            </w:rPr>
            <w:t>School  |</w:t>
          </w:r>
          <w:proofErr w:type="gramEnd"/>
          <w:r>
            <w:rPr>
              <w:color w:val="5A5A5A"/>
              <w:sz w:val="15"/>
            </w:rPr>
            <w:t xml:space="preserve">  Hidden Figures</w:t>
          </w:r>
        </w:p>
      </w:tc>
      <w:tc>
        <w:tcPr>
          <w:tcW w:w="3250" w:type="dxa"/>
          <w:tcMar>
            <w:top w:w="0" w:type="dxa"/>
            <w:left w:w="0" w:type="dxa"/>
            <w:bottom w:w="0" w:type="dxa"/>
            <w:right w:w="0" w:type="dxa"/>
          </w:tcMar>
        </w:tcPr>
        <w:p w14:paraId="54620FC2" w14:textId="77777777" w:rsidR="006D3162" w:rsidRDefault="00DB4402">
          <w:pPr>
            <w:spacing w:line="240" w:lineRule="auto"/>
            <w:jc w:val="right"/>
          </w:pPr>
          <w:r>
            <w:rPr>
              <w:color w:val="5A5A5A"/>
              <w:sz w:val="15"/>
            </w:rPr>
            <w:t xml:space="preserve">Page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D24283">
            <w:rPr>
              <w:noProof/>
            </w:rPr>
            <w:t>1</w:t>
          </w:r>
          <w: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6BFB2" w14:textId="77777777" w:rsidR="00DB4402" w:rsidRDefault="00DB4402">
      <w:pPr>
        <w:spacing w:line="240" w:lineRule="auto"/>
      </w:pPr>
      <w:r>
        <w:separator/>
      </w:r>
    </w:p>
  </w:footnote>
  <w:footnote w:type="continuationSeparator" w:id="0">
    <w:p w14:paraId="18841F74" w14:textId="77777777" w:rsidR="00DB4402" w:rsidRDefault="00DB440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61720331">
    <w:abstractNumId w:val="8"/>
  </w:num>
  <w:num w:numId="2" w16cid:durableId="1613244141">
    <w:abstractNumId w:val="6"/>
  </w:num>
  <w:num w:numId="3" w16cid:durableId="1183975054">
    <w:abstractNumId w:val="5"/>
  </w:num>
  <w:num w:numId="4" w16cid:durableId="1398818296">
    <w:abstractNumId w:val="4"/>
  </w:num>
  <w:num w:numId="5" w16cid:durableId="849834915">
    <w:abstractNumId w:val="7"/>
  </w:num>
  <w:num w:numId="6" w16cid:durableId="1653555576">
    <w:abstractNumId w:val="3"/>
  </w:num>
  <w:num w:numId="7" w16cid:durableId="1650550108">
    <w:abstractNumId w:val="2"/>
  </w:num>
  <w:num w:numId="8" w16cid:durableId="1580480894">
    <w:abstractNumId w:val="1"/>
  </w:num>
  <w:num w:numId="9" w16cid:durableId="632911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D3162"/>
    <w:rsid w:val="00AA1D8D"/>
    <w:rsid w:val="00B47730"/>
    <w:rsid w:val="00CB0664"/>
    <w:rsid w:val="00D24283"/>
    <w:rsid w:val="00D36A9C"/>
    <w:rsid w:val="00DB440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BDC1CC7"/>
  <w14:defaultImageDpi w14:val="300"/>
  <w15:docId w15:val="{8BB79367-A33A-1C49-9CDE-44B0DD095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Arial" w:eastAsia="Arial" w:hAnsi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076067E155504890D110C576918744" ma:contentTypeVersion="13" ma:contentTypeDescription="Create a new document." ma:contentTypeScope="" ma:versionID="0280e0e5f72fe5ccc21d6b0ff79b5214">
  <xsd:schema xmlns:xsd="http://www.w3.org/2001/XMLSchema" xmlns:xs="http://www.w3.org/2001/XMLSchema" xmlns:p="http://schemas.microsoft.com/office/2006/metadata/properties" xmlns:ns2="a1b63567-f413-4af5-96bc-e0b95a761309" xmlns:ns3="cb40a6e6-fdfc-4f82-8bf6-1699169513ee" targetNamespace="http://schemas.microsoft.com/office/2006/metadata/properties" ma:root="true" ma:fieldsID="8a17331d62ebe2e7c86eb54020a1e8ff" ns2:_="" ns3:_="">
    <xsd:import namespace="a1b63567-f413-4af5-96bc-e0b95a761309"/>
    <xsd:import namespace="cb40a6e6-fdfc-4f82-8bf6-1699169513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63567-f413-4af5-96bc-e0b95a7613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0a6e6-fdfc-4f82-8bf6-1699169513e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e80980c-cfe2-4497-a8d8-feef7d679b7b}" ma:internalName="TaxCatchAll" ma:showField="CatchAllData" ma:web="cb40a6e6-fdfc-4f82-8bf6-1699169513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40a6e6-fdfc-4f82-8bf6-1699169513ee" xsi:nil="true"/>
    <lcf76f155ced4ddcb4097134ff3c332f xmlns="a1b63567-f413-4af5-96bc-e0b95a7613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ED0EA5-5ABB-4953-B645-1E5DCE8B5F67}"/>
</file>

<file path=customXml/itemProps3.xml><?xml version="1.0" encoding="utf-8"?>
<ds:datastoreItem xmlns:ds="http://schemas.openxmlformats.org/officeDocument/2006/customXml" ds:itemID="{80620DED-685D-4509-AC88-5DF044F0F15E}"/>
</file>

<file path=customXml/itemProps4.xml><?xml version="1.0" encoding="utf-8"?>
<ds:datastoreItem xmlns:ds="http://schemas.openxmlformats.org/officeDocument/2006/customXml" ds:itemID="{BB03A762-C32E-41B1-ABC2-ED28329082E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1072</Words>
  <Characters>6116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7174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Becka Miller-Goddard</cp:lastModifiedBy>
  <cp:revision>2</cp:revision>
  <dcterms:created xsi:type="dcterms:W3CDTF">2026-08-11T22:10:00Z</dcterms:created>
  <dcterms:modified xsi:type="dcterms:W3CDTF">2026-08-11T22:10:00Z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0x010100CD076067E155504890D110C576918744</vt:lpwstr>
  </property>
</Properties>
</file>